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1AD681" w14:textId="1124DE14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bookmarkStart w:id="0" w:name="_GoBack"/>
      <w:bookmarkEnd w:id="0"/>
      <w:r w:rsidRPr="00B62A54">
        <w:rPr>
          <w:lang w:eastAsia="cs-CZ"/>
        </w:rPr>
        <w:t xml:space="preserve">Příloha č. </w:t>
      </w:r>
      <w:r w:rsidR="00EC02AE">
        <w:rPr>
          <w:lang w:eastAsia="cs-CZ"/>
        </w:rPr>
        <w:t>5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A07A54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454B1FF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C3ED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C3ED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5749F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B44C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06088B5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C3ED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C3ED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381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FD031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8DC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277D2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3EDE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C02AE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D361D84"/>
  <w14:defaultImageDpi w14:val="32767"/>
  <w15:docId w15:val="{0DBCF9BD-3852-4A32-ADA0-825A21A5C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9A092FB-B16E-46ED-848F-4BFC8E34F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2</Pages>
  <Words>323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Škába Ladislav, Bc., DiS.</cp:lastModifiedBy>
  <cp:revision>9</cp:revision>
  <cp:lastPrinted>2021-04-30T09:50:00Z</cp:lastPrinted>
  <dcterms:created xsi:type="dcterms:W3CDTF">2020-11-18T18:18:00Z</dcterms:created>
  <dcterms:modified xsi:type="dcterms:W3CDTF">2021-04-30T09:50:00Z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